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F7" w:rsidRDefault="003576CF" w:rsidP="00CB531C">
      <w:pPr>
        <w:pStyle w:val="a4"/>
        <w:spacing w:line="400" w:lineRule="atLeast"/>
      </w:pPr>
      <w:r>
        <w:t>法院使用通譯作業規定</w:t>
      </w:r>
    </w:p>
    <w:p w:rsidR="004047F7" w:rsidRDefault="003576CF" w:rsidP="00CB531C">
      <w:pPr>
        <w:spacing w:line="400" w:lineRule="atLeast"/>
        <w:ind w:right="176"/>
        <w:jc w:val="right"/>
        <w:rPr>
          <w:sz w:val="20"/>
        </w:rPr>
      </w:pPr>
      <w:r>
        <w:rPr>
          <w:spacing w:val="-10"/>
          <w:sz w:val="20"/>
        </w:rPr>
        <w:t>中華民國</w:t>
      </w:r>
      <w:r>
        <w:rPr>
          <w:spacing w:val="-10"/>
          <w:sz w:val="20"/>
        </w:rPr>
        <w:t xml:space="preserve"> </w:t>
      </w:r>
      <w:r>
        <w:rPr>
          <w:sz w:val="20"/>
        </w:rPr>
        <w:t>102</w:t>
      </w:r>
      <w:r>
        <w:rPr>
          <w:spacing w:val="-35"/>
          <w:sz w:val="20"/>
        </w:rPr>
        <w:t xml:space="preserve"> </w:t>
      </w:r>
      <w:r>
        <w:rPr>
          <w:spacing w:val="-35"/>
          <w:sz w:val="20"/>
        </w:rPr>
        <w:t>年</w:t>
      </w:r>
      <w:r>
        <w:rPr>
          <w:spacing w:val="-35"/>
          <w:sz w:val="20"/>
        </w:rPr>
        <w:t xml:space="preserve"> </w:t>
      </w:r>
      <w:r>
        <w:rPr>
          <w:sz w:val="20"/>
        </w:rPr>
        <w:t>10</w:t>
      </w:r>
      <w:r>
        <w:rPr>
          <w:spacing w:val="-34"/>
          <w:sz w:val="20"/>
        </w:rPr>
        <w:t xml:space="preserve"> </w:t>
      </w:r>
      <w:r>
        <w:rPr>
          <w:spacing w:val="-34"/>
          <w:sz w:val="20"/>
        </w:rPr>
        <w:t>月</w:t>
      </w:r>
      <w:r>
        <w:rPr>
          <w:spacing w:val="-34"/>
          <w:sz w:val="20"/>
        </w:rPr>
        <w:t xml:space="preserve"> </w:t>
      </w:r>
      <w:r>
        <w:rPr>
          <w:sz w:val="20"/>
        </w:rPr>
        <w:t>25</w:t>
      </w:r>
      <w:r>
        <w:rPr>
          <w:spacing w:val="-13"/>
          <w:sz w:val="20"/>
        </w:rPr>
        <w:t xml:space="preserve"> </w:t>
      </w:r>
      <w:r>
        <w:rPr>
          <w:spacing w:val="-13"/>
          <w:sz w:val="20"/>
        </w:rPr>
        <w:t>日院台廳司一字第</w:t>
      </w:r>
      <w:r>
        <w:rPr>
          <w:spacing w:val="-13"/>
          <w:sz w:val="20"/>
        </w:rPr>
        <w:t xml:space="preserve"> </w:t>
      </w:r>
      <w:r>
        <w:rPr>
          <w:sz w:val="20"/>
        </w:rPr>
        <w:t>1020028257</w:t>
      </w:r>
      <w:r>
        <w:rPr>
          <w:spacing w:val="-13"/>
          <w:sz w:val="20"/>
        </w:rPr>
        <w:t xml:space="preserve"> </w:t>
      </w:r>
      <w:r>
        <w:rPr>
          <w:spacing w:val="-13"/>
          <w:sz w:val="20"/>
        </w:rPr>
        <w:t>函訂定</w:t>
      </w:r>
    </w:p>
    <w:p w:rsidR="004047F7" w:rsidRDefault="003576CF" w:rsidP="00CB531C">
      <w:pPr>
        <w:spacing w:line="400" w:lineRule="atLeast"/>
        <w:ind w:right="176"/>
        <w:jc w:val="right"/>
        <w:rPr>
          <w:sz w:val="20"/>
        </w:rPr>
      </w:pPr>
      <w:r>
        <w:rPr>
          <w:spacing w:val="-10"/>
          <w:sz w:val="20"/>
        </w:rPr>
        <w:t>中華民國</w:t>
      </w:r>
      <w:r>
        <w:rPr>
          <w:spacing w:val="-10"/>
          <w:sz w:val="20"/>
        </w:rPr>
        <w:t xml:space="preserve"> </w:t>
      </w:r>
      <w:r>
        <w:rPr>
          <w:sz w:val="20"/>
        </w:rPr>
        <w:t>105</w:t>
      </w:r>
      <w:r>
        <w:rPr>
          <w:spacing w:val="-35"/>
          <w:sz w:val="20"/>
        </w:rPr>
        <w:t xml:space="preserve"> </w:t>
      </w:r>
      <w:r>
        <w:rPr>
          <w:spacing w:val="-35"/>
          <w:sz w:val="20"/>
        </w:rPr>
        <w:t>年</w:t>
      </w:r>
      <w:r>
        <w:rPr>
          <w:spacing w:val="-35"/>
          <w:sz w:val="20"/>
        </w:rPr>
        <w:t xml:space="preserve"> </w:t>
      </w:r>
      <w:r>
        <w:rPr>
          <w:sz w:val="20"/>
        </w:rPr>
        <w:t>3</w:t>
      </w:r>
      <w:r>
        <w:rPr>
          <w:spacing w:val="-35"/>
          <w:sz w:val="20"/>
        </w:rPr>
        <w:t xml:space="preserve"> </w:t>
      </w:r>
      <w:r>
        <w:rPr>
          <w:spacing w:val="-35"/>
          <w:sz w:val="20"/>
        </w:rPr>
        <w:t>月</w:t>
      </w:r>
      <w:r>
        <w:rPr>
          <w:spacing w:val="-35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pacing w:val="-13"/>
          <w:sz w:val="20"/>
        </w:rPr>
        <w:t>日院台廳司一字第</w:t>
      </w:r>
      <w:r>
        <w:rPr>
          <w:spacing w:val="-13"/>
          <w:sz w:val="20"/>
        </w:rPr>
        <w:t xml:space="preserve"> </w:t>
      </w:r>
      <w:r>
        <w:rPr>
          <w:sz w:val="20"/>
        </w:rPr>
        <w:t>1050008500</w:t>
      </w:r>
      <w:r>
        <w:rPr>
          <w:spacing w:val="-13"/>
          <w:sz w:val="20"/>
        </w:rPr>
        <w:t xml:space="preserve"> </w:t>
      </w:r>
      <w:r>
        <w:rPr>
          <w:spacing w:val="-13"/>
          <w:sz w:val="20"/>
        </w:rPr>
        <w:t>函修正</w:t>
      </w:r>
    </w:p>
    <w:p w:rsidR="004047F7" w:rsidRDefault="003576CF" w:rsidP="00CB531C">
      <w:pPr>
        <w:pStyle w:val="a3"/>
        <w:spacing w:before="64" w:line="400" w:lineRule="atLeast"/>
        <w:ind w:left="1358" w:right="177" w:hanging="538"/>
      </w:pPr>
      <w:r>
        <w:rPr>
          <w:spacing w:val="-11"/>
        </w:rPr>
        <w:t>一、為落實保障聽覺或語言障礙者、不通曉國語人士之權益，並利其</w:t>
      </w:r>
      <w:r>
        <w:rPr>
          <w:spacing w:val="-3"/>
        </w:rPr>
        <w:t>使用通譯參與訴訟程序，特訂定本作業規定。</w:t>
      </w:r>
    </w:p>
    <w:p w:rsidR="004047F7" w:rsidRDefault="003576CF" w:rsidP="00CB531C">
      <w:pPr>
        <w:pStyle w:val="a3"/>
        <w:spacing w:line="400" w:lineRule="atLeast"/>
        <w:ind w:left="1358" w:right="173" w:hanging="538"/>
        <w:jc w:val="both"/>
      </w:pPr>
      <w:r>
        <w:rPr>
          <w:spacing w:val="-11"/>
        </w:rPr>
        <w:t>二、本作業規定適用於當事人、證人、鑑定人或其他關係人</w:t>
      </w:r>
      <w:r>
        <w:t>（</w:t>
      </w:r>
      <w:r>
        <w:rPr>
          <w:spacing w:val="-2"/>
        </w:rPr>
        <w:t>以下簡</w:t>
      </w:r>
      <w:r>
        <w:rPr>
          <w:spacing w:val="-3"/>
        </w:rPr>
        <w:t>稱當事人或關係人</w:t>
      </w:r>
      <w:r>
        <w:rPr>
          <w:spacing w:val="-75"/>
        </w:rPr>
        <w:t>）</w:t>
      </w:r>
      <w:r>
        <w:rPr>
          <w:spacing w:val="-3"/>
        </w:rPr>
        <w:t>為聽覺或語言障礙者或不通曉國語人士之案件。</w:t>
      </w:r>
    </w:p>
    <w:p w:rsidR="004047F7" w:rsidRDefault="003576CF" w:rsidP="00CB531C">
      <w:pPr>
        <w:pStyle w:val="a3"/>
        <w:spacing w:line="400" w:lineRule="atLeast"/>
        <w:ind w:left="1360" w:right="114" w:firstLine="537"/>
      </w:pPr>
      <w:r>
        <w:t>本作業規定所稱通譯，除另有規定外，指法院現職通譯及特約通譯。</w:t>
      </w:r>
    </w:p>
    <w:p w:rsidR="004047F7" w:rsidRDefault="003576CF" w:rsidP="00CB531C">
      <w:pPr>
        <w:pStyle w:val="a3"/>
        <w:spacing w:line="400" w:lineRule="atLeast"/>
        <w:ind w:left="1358" w:right="178" w:hanging="538"/>
      </w:pPr>
      <w:r>
        <w:rPr>
          <w:spacing w:val="-13"/>
        </w:rPr>
        <w:t>三、法院審理案件時，宜主動瞭解、詢問當事人或關係人有無傳譯需</w:t>
      </w:r>
      <w:r>
        <w:rPr>
          <w:spacing w:val="-3"/>
        </w:rPr>
        <w:t>求，並視個案需要選任通譯。</w:t>
      </w:r>
    </w:p>
    <w:p w:rsidR="004047F7" w:rsidRDefault="003576CF" w:rsidP="00CB531C">
      <w:pPr>
        <w:pStyle w:val="a3"/>
        <w:spacing w:line="400" w:lineRule="atLeast"/>
        <w:ind w:left="1360" w:right="109" w:firstLine="537"/>
      </w:pPr>
      <w:r>
        <w:t>前項情形，法院宜於傳喚或通知時，以附記文字或附加使用通譯聲請書（如附件）之方式，告知其可向法院提出傳譯需求。</w:t>
      </w:r>
    </w:p>
    <w:p w:rsidR="004047F7" w:rsidRDefault="003576CF" w:rsidP="00CB531C">
      <w:pPr>
        <w:pStyle w:val="a3"/>
        <w:spacing w:line="400" w:lineRule="atLeast"/>
        <w:ind w:left="1358" w:right="178" w:hanging="538"/>
      </w:pPr>
      <w:r>
        <w:rPr>
          <w:spacing w:val="-12"/>
        </w:rPr>
        <w:t>四、法院於審理案件需用通譯時，宜先選任現職通譯，於現職通譯不</w:t>
      </w:r>
      <w:r>
        <w:rPr>
          <w:spacing w:val="-3"/>
        </w:rPr>
        <w:t>適宜或不敷應用時，得選任特約通譯。</w:t>
      </w:r>
    </w:p>
    <w:p w:rsidR="004047F7" w:rsidRDefault="003576CF" w:rsidP="00CB531C">
      <w:pPr>
        <w:pStyle w:val="a3"/>
        <w:spacing w:line="400" w:lineRule="atLeast"/>
        <w:ind w:left="1360" w:right="178" w:firstLine="537"/>
        <w:jc w:val="both"/>
      </w:pPr>
      <w:r>
        <w:rPr>
          <w:spacing w:val="-9"/>
        </w:rPr>
        <w:t>法院審理案件時，如所遴聘之特約通譯因故均不能擔任職務</w:t>
      </w:r>
      <w:r>
        <w:rPr>
          <w:spacing w:val="-10"/>
        </w:rPr>
        <w:t>或人數不敷應用時，得因應需要，函請相關機關或單位協助指派</w:t>
      </w:r>
      <w:r>
        <w:rPr>
          <w:spacing w:val="-3"/>
        </w:rPr>
        <w:t>熟諳該國語言人員擔任臨時通譯。</w:t>
      </w:r>
    </w:p>
    <w:p w:rsidR="004047F7" w:rsidRDefault="003576CF" w:rsidP="00CB531C">
      <w:pPr>
        <w:pStyle w:val="a3"/>
        <w:spacing w:line="400" w:lineRule="atLeast"/>
        <w:ind w:left="1358" w:right="178" w:hanging="538"/>
      </w:pPr>
      <w:r>
        <w:rPr>
          <w:spacing w:val="-12"/>
        </w:rPr>
        <w:t>五、對於案情繁雜之案件，法院得選任二名以上之通譯，分為主譯及</w:t>
      </w:r>
      <w:r>
        <w:t>輔譯。</w:t>
      </w:r>
    </w:p>
    <w:p w:rsidR="004047F7" w:rsidRDefault="003576CF" w:rsidP="00CB531C">
      <w:pPr>
        <w:pStyle w:val="a3"/>
        <w:spacing w:line="400" w:lineRule="atLeast"/>
        <w:ind w:left="1360" w:right="114" w:firstLine="537"/>
      </w:pPr>
      <w:r>
        <w:t>主譯傳譯時，輔譯應始終在庭，並專注留意主譯傳譯之正確性。</w:t>
      </w:r>
    </w:p>
    <w:p w:rsidR="004047F7" w:rsidRDefault="003576CF" w:rsidP="00CB531C">
      <w:pPr>
        <w:pStyle w:val="a3"/>
        <w:spacing w:line="400" w:lineRule="atLeast"/>
        <w:ind w:left="1358" w:right="177" w:hanging="538"/>
      </w:pPr>
      <w:r>
        <w:rPr>
          <w:spacing w:val="-12"/>
        </w:rPr>
        <w:t>六、法院應視實際開庭情形，酌定休息時間，避免通譯執行職務過勞</w:t>
      </w:r>
      <w:r>
        <w:rPr>
          <w:spacing w:val="-2"/>
        </w:rPr>
        <w:t>而影響傳譯品質。</w:t>
      </w:r>
    </w:p>
    <w:p w:rsidR="004047F7" w:rsidRDefault="003576CF" w:rsidP="00CB531C">
      <w:pPr>
        <w:pStyle w:val="a3"/>
        <w:spacing w:line="400" w:lineRule="atLeast"/>
        <w:ind w:left="1358" w:right="178" w:hanging="538"/>
      </w:pPr>
      <w:r>
        <w:rPr>
          <w:spacing w:val="-12"/>
        </w:rPr>
        <w:t>七、當事人或關係人如自備傳譯人員，法院為選任前，應主動瞭解該</w:t>
      </w:r>
      <w:r>
        <w:rPr>
          <w:spacing w:val="-3"/>
        </w:rPr>
        <w:t>傳譯人員之身分、傳譯能力及其與受訊問人之關係。</w:t>
      </w:r>
    </w:p>
    <w:p w:rsidR="004047F7" w:rsidRDefault="003576CF" w:rsidP="00CB531C">
      <w:pPr>
        <w:pStyle w:val="a3"/>
        <w:spacing w:line="400" w:lineRule="atLeast"/>
        <w:ind w:left="1358" w:right="367" w:hanging="538"/>
      </w:pPr>
      <w:r>
        <w:t>八、法院單一窗口聯合服務中心及開庭報到處應備置使用通譯聲請書，俾利需要傳譯服務之當事人或關係人填寫。</w:t>
      </w:r>
    </w:p>
    <w:p w:rsidR="004047F7" w:rsidRDefault="003576CF" w:rsidP="00CB531C">
      <w:pPr>
        <w:pStyle w:val="a3"/>
        <w:spacing w:line="400" w:lineRule="atLeast"/>
        <w:ind w:left="1358" w:right="178" w:hanging="538"/>
      </w:pPr>
      <w:r>
        <w:rPr>
          <w:spacing w:val="-12"/>
        </w:rPr>
        <w:t>九、法院現職通譯或特約通譯以外之人，執行通譯職務時，準用第五</w:t>
      </w:r>
      <w:r>
        <w:rPr>
          <w:spacing w:val="-2"/>
        </w:rPr>
        <w:t>點至第七點規定。</w:t>
      </w:r>
    </w:p>
    <w:p w:rsidR="004047F7" w:rsidRDefault="004047F7">
      <w:pPr>
        <w:spacing w:line="187" w:lineRule="auto"/>
        <w:sectPr w:rsidR="004047F7">
          <w:type w:val="continuous"/>
          <w:pgSz w:w="11910" w:h="16840"/>
          <w:pgMar w:top="1220" w:right="1620" w:bottom="280" w:left="980" w:header="720" w:footer="720" w:gutter="0"/>
          <w:cols w:space="720"/>
        </w:sectPr>
      </w:pPr>
    </w:p>
    <w:p w:rsidR="004047F7" w:rsidRDefault="004047F7">
      <w:pPr>
        <w:pStyle w:val="a3"/>
        <w:ind w:left="9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pt;height:27pt;mso-position-horizontal-relative:char;mso-position-vertical-relative:line" filled="f">
            <v:textbox inset="0,0,0,0">
              <w:txbxContent>
                <w:p w:rsidR="004047F7" w:rsidRDefault="003576CF">
                  <w:pPr>
                    <w:spacing w:line="479" w:lineRule="exact"/>
                    <w:ind w:left="144"/>
                    <w:rPr>
                      <w:sz w:val="24"/>
                    </w:rPr>
                  </w:pPr>
                  <w:r>
                    <w:rPr>
                      <w:sz w:val="24"/>
                    </w:rPr>
                    <w:t>附件</w:t>
                  </w:r>
                </w:p>
              </w:txbxContent>
            </v:textbox>
            <w10:wrap type="none"/>
            <w10:anchorlock/>
          </v:shape>
        </w:pict>
      </w:r>
    </w:p>
    <w:p w:rsidR="004047F7" w:rsidRDefault="004047F7">
      <w:pPr>
        <w:pStyle w:val="a3"/>
        <w:spacing w:before="15"/>
        <w:rPr>
          <w:sz w:val="24"/>
        </w:rPr>
      </w:pPr>
    </w:p>
    <w:p w:rsidR="004047F7" w:rsidRDefault="003576CF" w:rsidP="00CB531C">
      <w:pPr>
        <w:pStyle w:val="a3"/>
        <w:tabs>
          <w:tab w:val="left" w:pos="4339"/>
        </w:tabs>
        <w:spacing w:line="400" w:lineRule="atLeast"/>
        <w:ind w:right="223"/>
        <w:jc w:val="right"/>
      </w:pPr>
      <w:r>
        <w:t>○○○○</w:t>
      </w:r>
      <w:r>
        <w:t>法院</w:t>
      </w:r>
      <w:r>
        <w:rPr>
          <w:spacing w:val="-3"/>
        </w:rPr>
        <w:t>使</w:t>
      </w:r>
      <w:r>
        <w:t>用通譯聲</w:t>
      </w:r>
      <w:r>
        <w:rPr>
          <w:spacing w:val="-3"/>
        </w:rPr>
        <w:t>請</w:t>
      </w:r>
      <w:r>
        <w:t>書</w:t>
      </w:r>
      <w:r>
        <w:tab/>
      </w:r>
      <w:r>
        <w:rPr>
          <w:spacing w:val="-1"/>
        </w:rPr>
        <w:t>案號：</w:t>
      </w:r>
      <w:r>
        <w:rPr>
          <w:spacing w:val="-1"/>
        </w:rPr>
        <w:t>○○</w:t>
      </w:r>
      <w:r>
        <w:rPr>
          <w:spacing w:val="-1"/>
        </w:rPr>
        <w:t>年</w:t>
      </w:r>
      <w:r>
        <w:t>度</w:t>
      </w:r>
      <w:r>
        <w:rPr>
          <w:spacing w:val="-3"/>
        </w:rPr>
        <w:t>○○</w:t>
      </w:r>
      <w:r>
        <w:t>字第</w:t>
      </w:r>
      <w:r>
        <w:t>○○</w:t>
      </w:r>
      <w:r>
        <w:t>號</w:t>
      </w:r>
    </w:p>
    <w:p w:rsidR="004047F7" w:rsidRDefault="003576CF" w:rsidP="00CB531C">
      <w:pPr>
        <w:pStyle w:val="a3"/>
        <w:spacing w:line="400" w:lineRule="atLeast"/>
        <w:ind w:right="219"/>
        <w:jc w:val="right"/>
      </w:pPr>
      <w:r>
        <w:t>股別：</w:t>
      </w:r>
      <w:r>
        <w:t>○</w:t>
      </w:r>
    </w:p>
    <w:p w:rsidR="004047F7" w:rsidRDefault="004047F7" w:rsidP="00CB531C">
      <w:pPr>
        <w:pStyle w:val="a3"/>
        <w:spacing w:before="4" w:line="400" w:lineRule="atLeast"/>
        <w:rPr>
          <w:sz w:val="19"/>
        </w:rPr>
      </w:pPr>
    </w:p>
    <w:p w:rsidR="004047F7" w:rsidRDefault="003576CF" w:rsidP="00CB531C">
      <w:pPr>
        <w:pStyle w:val="a3"/>
        <w:tabs>
          <w:tab w:val="left" w:pos="3480"/>
        </w:tabs>
        <w:spacing w:line="400" w:lineRule="atLeast"/>
        <w:ind w:left="1240"/>
      </w:pPr>
      <w:r>
        <w:t>本人</w:t>
      </w:r>
      <w:r>
        <w:t>○○○</w:t>
      </w:r>
      <w:r>
        <w:t>因係</w:t>
      </w:r>
      <w:r>
        <w:tab/>
        <w:t>□</w:t>
      </w:r>
      <w:r>
        <w:rPr>
          <w:spacing w:val="-1"/>
        </w:rPr>
        <w:t xml:space="preserve"> </w:t>
      </w:r>
      <w:r>
        <w:t>聽覺或</w:t>
      </w:r>
      <w:r>
        <w:rPr>
          <w:spacing w:val="-3"/>
        </w:rPr>
        <w:t>語</w:t>
      </w:r>
      <w:r>
        <w:t>言障</w:t>
      </w:r>
      <w:r>
        <w:rPr>
          <w:spacing w:val="-3"/>
        </w:rPr>
        <w:t>礙</w:t>
      </w:r>
      <w:r>
        <w:t>者</w:t>
      </w:r>
    </w:p>
    <w:p w:rsidR="004047F7" w:rsidRDefault="003576CF" w:rsidP="00CB531C">
      <w:pPr>
        <w:pStyle w:val="a5"/>
        <w:numPr>
          <w:ilvl w:val="0"/>
          <w:numId w:val="2"/>
        </w:numPr>
        <w:tabs>
          <w:tab w:val="left" w:pos="3901"/>
          <w:tab w:val="left" w:pos="8662"/>
        </w:tabs>
        <w:spacing w:line="400" w:lineRule="atLeast"/>
        <w:ind w:hanging="421"/>
        <w:rPr>
          <w:sz w:val="28"/>
        </w:rPr>
      </w:pPr>
      <w:r>
        <w:rPr>
          <w:sz w:val="28"/>
        </w:rPr>
        <w:t>原住民</w:t>
      </w:r>
      <w:r>
        <w:rPr>
          <w:spacing w:val="-3"/>
          <w:sz w:val="28"/>
        </w:rPr>
        <w:t>（</w:t>
      </w:r>
      <w:r>
        <w:rPr>
          <w:sz w:val="28"/>
        </w:rPr>
        <w:t>族別：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）</w:t>
      </w:r>
    </w:p>
    <w:p w:rsidR="004047F7" w:rsidRDefault="003576CF" w:rsidP="00CB531C">
      <w:pPr>
        <w:pStyle w:val="a5"/>
        <w:numPr>
          <w:ilvl w:val="0"/>
          <w:numId w:val="2"/>
        </w:numPr>
        <w:tabs>
          <w:tab w:val="left" w:pos="3903"/>
          <w:tab w:val="left" w:pos="8665"/>
        </w:tabs>
        <w:spacing w:line="400" w:lineRule="atLeast"/>
        <w:ind w:left="3902" w:hanging="421"/>
        <w:rPr>
          <w:sz w:val="28"/>
        </w:rPr>
      </w:pPr>
      <w:r>
        <w:rPr>
          <w:sz w:val="28"/>
        </w:rPr>
        <w:t>外國</w:t>
      </w:r>
      <w:r>
        <w:rPr>
          <w:spacing w:val="-3"/>
          <w:sz w:val="28"/>
        </w:rPr>
        <w:t>人</w:t>
      </w:r>
      <w:r>
        <w:rPr>
          <w:sz w:val="28"/>
        </w:rPr>
        <w:t>（國</w:t>
      </w:r>
      <w:r>
        <w:rPr>
          <w:spacing w:val="-3"/>
          <w:sz w:val="28"/>
        </w:rPr>
        <w:t>籍</w:t>
      </w:r>
      <w:r>
        <w:rPr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）</w:t>
      </w:r>
    </w:p>
    <w:p w:rsidR="004047F7" w:rsidRDefault="003576CF" w:rsidP="00CB531C">
      <w:pPr>
        <w:pStyle w:val="a5"/>
        <w:numPr>
          <w:ilvl w:val="0"/>
          <w:numId w:val="2"/>
        </w:numPr>
        <w:tabs>
          <w:tab w:val="left" w:pos="3903"/>
          <w:tab w:val="left" w:pos="8868"/>
        </w:tabs>
        <w:spacing w:line="400" w:lineRule="atLeast"/>
        <w:ind w:left="3902" w:hanging="421"/>
        <w:rPr>
          <w:rFonts w:ascii="Times New Roman" w:eastAsia="Times New Roman" w:hAnsi="Times New Roman"/>
          <w:sz w:val="28"/>
        </w:rPr>
      </w:pPr>
      <w:r>
        <w:rPr>
          <w:sz w:val="28"/>
        </w:rPr>
        <w:t>其他</w:t>
      </w:r>
      <w:r>
        <w:rPr>
          <w:spacing w:val="-3"/>
          <w:sz w:val="28"/>
        </w:rPr>
        <w:t>原</w:t>
      </w:r>
      <w:r>
        <w:rPr>
          <w:sz w:val="28"/>
        </w:rPr>
        <w:t>因：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4047F7" w:rsidRDefault="004047F7" w:rsidP="00CB531C">
      <w:pPr>
        <w:pStyle w:val="a3"/>
        <w:spacing w:line="400" w:lineRule="atLeast"/>
        <w:rPr>
          <w:rFonts w:ascii="Times New Roman"/>
          <w:sz w:val="20"/>
        </w:rPr>
      </w:pPr>
    </w:p>
    <w:p w:rsidR="004047F7" w:rsidRDefault="004047F7" w:rsidP="00CB531C">
      <w:pPr>
        <w:pStyle w:val="a3"/>
        <w:spacing w:line="400" w:lineRule="atLeast"/>
        <w:rPr>
          <w:rFonts w:ascii="Times New Roman"/>
          <w:sz w:val="23"/>
        </w:rPr>
      </w:pPr>
    </w:p>
    <w:p w:rsidR="004047F7" w:rsidRDefault="003576CF" w:rsidP="00CB531C">
      <w:pPr>
        <w:pStyle w:val="a3"/>
        <w:spacing w:line="400" w:lineRule="atLeast"/>
        <w:ind w:left="1238"/>
      </w:pPr>
      <w:r>
        <w:t>而有不通曉國語或無法以國語順暢表達意見之情形，爰具狀聲請</w:t>
      </w:r>
    </w:p>
    <w:p w:rsidR="004047F7" w:rsidRDefault="003576CF" w:rsidP="00CB531C">
      <w:pPr>
        <w:pStyle w:val="a3"/>
        <w:spacing w:line="400" w:lineRule="atLeast"/>
        <w:ind w:left="1238"/>
      </w:pPr>
      <w:r>
        <w:t>選任</w:t>
      </w:r>
      <w:r>
        <w:t>○○</w:t>
      </w:r>
      <w:r>
        <w:t>語通譯。</w:t>
      </w:r>
    </w:p>
    <w:p w:rsidR="004047F7" w:rsidRDefault="004047F7" w:rsidP="00CB531C">
      <w:pPr>
        <w:pStyle w:val="a3"/>
        <w:spacing w:before="2" w:line="400" w:lineRule="atLeast"/>
        <w:rPr>
          <w:sz w:val="19"/>
        </w:rPr>
      </w:pPr>
    </w:p>
    <w:p w:rsidR="004047F7" w:rsidRDefault="003576CF" w:rsidP="00CB531C">
      <w:pPr>
        <w:pStyle w:val="a3"/>
        <w:spacing w:line="400" w:lineRule="atLeast"/>
        <w:ind w:left="820"/>
      </w:pPr>
      <w:r>
        <w:t>此致</w:t>
      </w:r>
    </w:p>
    <w:p w:rsidR="004047F7" w:rsidRDefault="003576CF" w:rsidP="00CB531C">
      <w:pPr>
        <w:pStyle w:val="a3"/>
        <w:tabs>
          <w:tab w:val="left" w:pos="2781"/>
        </w:tabs>
        <w:spacing w:line="400" w:lineRule="atLeast"/>
        <w:ind w:left="820"/>
      </w:pPr>
      <w:r>
        <w:t>○○○○</w:t>
      </w:r>
      <w:r>
        <w:t>法院</w:t>
      </w:r>
      <w:r>
        <w:tab/>
      </w:r>
      <w:r>
        <w:rPr>
          <w:spacing w:val="-3"/>
        </w:rPr>
        <w:t>公鑒</w:t>
      </w:r>
    </w:p>
    <w:p w:rsidR="004047F7" w:rsidRDefault="004047F7" w:rsidP="00CB531C">
      <w:pPr>
        <w:pStyle w:val="a3"/>
        <w:spacing w:before="2" w:line="400" w:lineRule="atLeast"/>
        <w:rPr>
          <w:sz w:val="19"/>
        </w:rPr>
      </w:pPr>
    </w:p>
    <w:p w:rsidR="004047F7" w:rsidRDefault="003576CF" w:rsidP="00CB531C">
      <w:pPr>
        <w:pStyle w:val="a3"/>
        <w:spacing w:line="400" w:lineRule="atLeast"/>
        <w:ind w:left="832"/>
      </w:pPr>
      <w:r>
        <w:t>※</w:t>
      </w:r>
      <w:r>
        <w:t>附件及份數（依聲請原因勾選）</w:t>
      </w:r>
    </w:p>
    <w:p w:rsidR="004047F7" w:rsidRDefault="003576CF" w:rsidP="00CB531C">
      <w:pPr>
        <w:pStyle w:val="a5"/>
        <w:numPr>
          <w:ilvl w:val="0"/>
          <w:numId w:val="1"/>
        </w:numPr>
        <w:tabs>
          <w:tab w:val="left" w:pos="1241"/>
          <w:tab w:val="left" w:pos="4461"/>
        </w:tabs>
        <w:spacing w:line="400" w:lineRule="atLeast"/>
        <w:ind w:hanging="421"/>
        <w:rPr>
          <w:sz w:val="28"/>
        </w:rPr>
      </w:pPr>
      <w:r>
        <w:rPr>
          <w:sz w:val="28"/>
        </w:rPr>
        <w:t>戶籍謄</w:t>
      </w:r>
      <w:r>
        <w:rPr>
          <w:spacing w:val="-3"/>
          <w:sz w:val="28"/>
        </w:rPr>
        <w:t>本</w:t>
      </w:r>
      <w:r>
        <w:rPr>
          <w:sz w:val="28"/>
        </w:rPr>
        <w:t>影本</w:t>
      </w:r>
      <w:r>
        <w:rPr>
          <w:spacing w:val="-3"/>
          <w:sz w:val="28"/>
        </w:rPr>
        <w:t>○</w:t>
      </w:r>
      <w:r>
        <w:rPr>
          <w:sz w:val="28"/>
        </w:rPr>
        <w:t>件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中</w:t>
      </w:r>
      <w:r>
        <w:rPr>
          <w:spacing w:val="-3"/>
          <w:sz w:val="28"/>
        </w:rPr>
        <w:t>華</w:t>
      </w:r>
      <w:r>
        <w:rPr>
          <w:sz w:val="28"/>
        </w:rPr>
        <w:t>民國居</w:t>
      </w:r>
      <w:r>
        <w:rPr>
          <w:spacing w:val="-3"/>
          <w:sz w:val="28"/>
        </w:rPr>
        <w:t>留</w:t>
      </w:r>
      <w:r>
        <w:rPr>
          <w:sz w:val="28"/>
        </w:rPr>
        <w:t>證影</w:t>
      </w:r>
      <w:r>
        <w:rPr>
          <w:spacing w:val="-3"/>
          <w:sz w:val="28"/>
        </w:rPr>
        <w:t>本</w:t>
      </w:r>
      <w:r>
        <w:rPr>
          <w:spacing w:val="-3"/>
          <w:sz w:val="28"/>
        </w:rPr>
        <w:t>○</w:t>
      </w:r>
      <w:r>
        <w:rPr>
          <w:sz w:val="28"/>
        </w:rPr>
        <w:t>件</w:t>
      </w:r>
    </w:p>
    <w:p w:rsidR="004047F7" w:rsidRDefault="003576CF" w:rsidP="00CB531C">
      <w:pPr>
        <w:pStyle w:val="a5"/>
        <w:numPr>
          <w:ilvl w:val="0"/>
          <w:numId w:val="1"/>
        </w:numPr>
        <w:tabs>
          <w:tab w:val="left" w:pos="1241"/>
          <w:tab w:val="left" w:pos="4461"/>
        </w:tabs>
        <w:spacing w:line="400" w:lineRule="atLeast"/>
        <w:ind w:hanging="421"/>
        <w:rPr>
          <w:sz w:val="28"/>
        </w:rPr>
      </w:pPr>
      <w:r>
        <w:rPr>
          <w:sz w:val="28"/>
        </w:rPr>
        <w:t>身心障</w:t>
      </w:r>
      <w:r>
        <w:rPr>
          <w:spacing w:val="-3"/>
          <w:sz w:val="28"/>
        </w:rPr>
        <w:t>礙</w:t>
      </w:r>
      <w:r>
        <w:rPr>
          <w:sz w:val="28"/>
        </w:rPr>
        <w:t>證明</w:t>
      </w:r>
      <w:r>
        <w:rPr>
          <w:spacing w:val="-3"/>
          <w:sz w:val="28"/>
        </w:rPr>
        <w:t>影</w:t>
      </w:r>
      <w:r>
        <w:rPr>
          <w:sz w:val="28"/>
        </w:rPr>
        <w:t>本</w:t>
      </w:r>
      <w:r>
        <w:rPr>
          <w:sz w:val="28"/>
        </w:rPr>
        <w:t>○</w:t>
      </w:r>
      <w:r>
        <w:rPr>
          <w:sz w:val="28"/>
        </w:rPr>
        <w:t>件</w:t>
      </w:r>
      <w:r>
        <w:rPr>
          <w:sz w:val="28"/>
        </w:rPr>
        <w:tab/>
        <w:t>□</w:t>
      </w:r>
      <w:r>
        <w:rPr>
          <w:spacing w:val="-1"/>
          <w:sz w:val="28"/>
        </w:rPr>
        <w:t xml:space="preserve"> </w:t>
      </w:r>
      <w:r>
        <w:rPr>
          <w:sz w:val="28"/>
        </w:rPr>
        <w:t>護</w:t>
      </w:r>
      <w:r>
        <w:rPr>
          <w:spacing w:val="-3"/>
          <w:sz w:val="28"/>
        </w:rPr>
        <w:t>照</w:t>
      </w:r>
      <w:r>
        <w:rPr>
          <w:sz w:val="28"/>
        </w:rPr>
        <w:t>影本</w:t>
      </w:r>
      <w:r>
        <w:rPr>
          <w:sz w:val="28"/>
        </w:rPr>
        <w:t>○</w:t>
      </w:r>
      <w:r>
        <w:rPr>
          <w:sz w:val="28"/>
        </w:rPr>
        <w:t>件</w:t>
      </w:r>
    </w:p>
    <w:p w:rsidR="004047F7" w:rsidRDefault="003576CF" w:rsidP="00CB531C">
      <w:pPr>
        <w:pStyle w:val="a5"/>
        <w:numPr>
          <w:ilvl w:val="0"/>
          <w:numId w:val="1"/>
        </w:numPr>
        <w:tabs>
          <w:tab w:val="left" w:pos="1241"/>
          <w:tab w:val="left" w:pos="4526"/>
        </w:tabs>
        <w:spacing w:line="400" w:lineRule="atLeast"/>
        <w:ind w:hanging="421"/>
        <w:rPr>
          <w:rFonts w:ascii="Times New Roman" w:eastAsia="Times New Roman" w:hAnsi="Times New Roman"/>
          <w:sz w:val="28"/>
        </w:rPr>
      </w:pPr>
      <w:r>
        <w:rPr>
          <w:sz w:val="28"/>
        </w:rPr>
        <w:t>其他：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4047F7" w:rsidRDefault="004047F7" w:rsidP="00CB531C">
      <w:pPr>
        <w:pStyle w:val="a3"/>
        <w:spacing w:line="400" w:lineRule="atLeast"/>
        <w:rPr>
          <w:rFonts w:ascii="Times New Roman"/>
          <w:sz w:val="20"/>
        </w:rPr>
      </w:pPr>
    </w:p>
    <w:p w:rsidR="004047F7" w:rsidRDefault="004047F7" w:rsidP="00CB531C">
      <w:pPr>
        <w:pStyle w:val="a3"/>
        <w:spacing w:line="400" w:lineRule="atLeast"/>
        <w:rPr>
          <w:rFonts w:ascii="Times New Roman"/>
          <w:sz w:val="20"/>
        </w:rPr>
      </w:pPr>
    </w:p>
    <w:p w:rsidR="004047F7" w:rsidRDefault="004047F7" w:rsidP="00CB531C">
      <w:pPr>
        <w:pStyle w:val="a3"/>
        <w:spacing w:line="400" w:lineRule="atLeast"/>
        <w:rPr>
          <w:rFonts w:ascii="Times New Roman"/>
          <w:sz w:val="20"/>
        </w:rPr>
      </w:pPr>
    </w:p>
    <w:p w:rsidR="004047F7" w:rsidRDefault="004047F7" w:rsidP="00CB531C">
      <w:pPr>
        <w:pStyle w:val="a3"/>
        <w:spacing w:before="8" w:line="400" w:lineRule="atLeast"/>
        <w:rPr>
          <w:rFonts w:ascii="Times New Roman"/>
          <w:sz w:val="26"/>
        </w:rPr>
      </w:pPr>
    </w:p>
    <w:p w:rsidR="004047F7" w:rsidRDefault="003576CF" w:rsidP="00CB531C">
      <w:pPr>
        <w:pStyle w:val="a3"/>
        <w:tabs>
          <w:tab w:val="left" w:pos="6842"/>
        </w:tabs>
        <w:spacing w:line="400" w:lineRule="atLeast"/>
        <w:ind w:left="3201"/>
      </w:pPr>
      <w:r>
        <w:t>聲請人：</w:t>
      </w:r>
      <w:r>
        <w:tab/>
      </w:r>
      <w:r>
        <w:t>（簽名</w:t>
      </w:r>
      <w:r>
        <w:rPr>
          <w:spacing w:val="-3"/>
        </w:rPr>
        <w:t>蓋</w:t>
      </w:r>
      <w:r>
        <w:t>章）</w:t>
      </w:r>
    </w:p>
    <w:p w:rsidR="004047F7" w:rsidRDefault="003576CF" w:rsidP="00CB531C">
      <w:pPr>
        <w:pStyle w:val="a3"/>
        <w:spacing w:before="20" w:line="400" w:lineRule="atLeast"/>
        <w:ind w:left="3201" w:right="1202"/>
      </w:pPr>
      <w:r>
        <w:rPr>
          <w:spacing w:val="-2"/>
        </w:rPr>
        <w:t>身分證統一編號</w:t>
      </w:r>
      <w:r>
        <w:rPr>
          <w:spacing w:val="-3"/>
        </w:rPr>
        <w:t>（</w:t>
      </w:r>
      <w:r>
        <w:rPr>
          <w:spacing w:val="-2"/>
        </w:rPr>
        <w:t>居留證或護照號碼</w:t>
      </w:r>
      <w:r>
        <w:rPr>
          <w:spacing w:val="-149"/>
        </w:rPr>
        <w:t>）</w:t>
      </w:r>
      <w:r>
        <w:rPr>
          <w:spacing w:val="-7"/>
        </w:rPr>
        <w:t>：</w:t>
      </w:r>
      <w:r>
        <w:t>住居所：</w:t>
      </w:r>
    </w:p>
    <w:p w:rsidR="004047F7" w:rsidRDefault="003576CF" w:rsidP="00CB531C">
      <w:pPr>
        <w:pStyle w:val="a3"/>
        <w:spacing w:line="400" w:lineRule="atLeast"/>
        <w:ind w:left="3201"/>
      </w:pPr>
      <w:r>
        <w:t>聯絡電話：</w:t>
      </w:r>
    </w:p>
    <w:p w:rsidR="004047F7" w:rsidRDefault="004047F7" w:rsidP="00CB531C">
      <w:pPr>
        <w:pStyle w:val="a3"/>
        <w:spacing w:before="11" w:line="400" w:lineRule="atLeast"/>
        <w:rPr>
          <w:sz w:val="30"/>
        </w:rPr>
      </w:pPr>
    </w:p>
    <w:p w:rsidR="004047F7" w:rsidRDefault="003576CF" w:rsidP="00CB531C">
      <w:pPr>
        <w:pStyle w:val="a3"/>
        <w:tabs>
          <w:tab w:val="left" w:pos="1436"/>
          <w:tab w:val="left" w:pos="2418"/>
          <w:tab w:val="left" w:pos="3398"/>
          <w:tab w:val="left" w:pos="4658"/>
          <w:tab w:val="left" w:pos="5920"/>
          <w:tab w:val="left" w:pos="7181"/>
        </w:tabs>
        <w:spacing w:line="400" w:lineRule="atLeast"/>
        <w:ind w:left="457"/>
        <w:jc w:val="center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4047F7" w:rsidSect="004047F7">
      <w:pgSz w:w="11910" w:h="16840"/>
      <w:pgMar w:top="220" w:right="16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CF" w:rsidRDefault="003576CF" w:rsidP="00CB531C">
      <w:r>
        <w:separator/>
      </w:r>
    </w:p>
  </w:endnote>
  <w:endnote w:type="continuationSeparator" w:id="1">
    <w:p w:rsidR="003576CF" w:rsidRDefault="003576CF" w:rsidP="00CB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CF" w:rsidRDefault="003576CF" w:rsidP="00CB531C">
      <w:r>
        <w:separator/>
      </w:r>
    </w:p>
  </w:footnote>
  <w:footnote w:type="continuationSeparator" w:id="1">
    <w:p w:rsidR="003576CF" w:rsidRDefault="003576CF" w:rsidP="00CB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274"/>
    <w:multiLevelType w:val="hybridMultilevel"/>
    <w:tmpl w:val="D6761574"/>
    <w:lvl w:ilvl="0" w:tplc="61206D34">
      <w:numFmt w:val="bullet"/>
      <w:lvlText w:val="□"/>
      <w:lvlJc w:val="left"/>
      <w:pPr>
        <w:ind w:left="1240" w:hanging="42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8"/>
        <w:szCs w:val="28"/>
        <w:lang w:val="en-US" w:eastAsia="zh-TW" w:bidi="ar-SA"/>
      </w:rPr>
    </w:lvl>
    <w:lvl w:ilvl="1" w:tplc="DC0E9F56">
      <w:numFmt w:val="bullet"/>
      <w:lvlText w:val="•"/>
      <w:lvlJc w:val="left"/>
      <w:pPr>
        <w:ind w:left="2046" w:hanging="420"/>
      </w:pPr>
      <w:rPr>
        <w:rFonts w:hint="default"/>
        <w:lang w:val="en-US" w:eastAsia="zh-TW" w:bidi="ar-SA"/>
      </w:rPr>
    </w:lvl>
    <w:lvl w:ilvl="2" w:tplc="56964AF4">
      <w:numFmt w:val="bullet"/>
      <w:lvlText w:val="•"/>
      <w:lvlJc w:val="left"/>
      <w:pPr>
        <w:ind w:left="2853" w:hanging="420"/>
      </w:pPr>
      <w:rPr>
        <w:rFonts w:hint="default"/>
        <w:lang w:val="en-US" w:eastAsia="zh-TW" w:bidi="ar-SA"/>
      </w:rPr>
    </w:lvl>
    <w:lvl w:ilvl="3" w:tplc="ECBEB72E">
      <w:numFmt w:val="bullet"/>
      <w:lvlText w:val="•"/>
      <w:lvlJc w:val="left"/>
      <w:pPr>
        <w:ind w:left="3659" w:hanging="420"/>
      </w:pPr>
      <w:rPr>
        <w:rFonts w:hint="default"/>
        <w:lang w:val="en-US" w:eastAsia="zh-TW" w:bidi="ar-SA"/>
      </w:rPr>
    </w:lvl>
    <w:lvl w:ilvl="4" w:tplc="0FB03D58">
      <w:numFmt w:val="bullet"/>
      <w:lvlText w:val="•"/>
      <w:lvlJc w:val="left"/>
      <w:pPr>
        <w:ind w:left="4466" w:hanging="420"/>
      </w:pPr>
      <w:rPr>
        <w:rFonts w:hint="default"/>
        <w:lang w:val="en-US" w:eastAsia="zh-TW" w:bidi="ar-SA"/>
      </w:rPr>
    </w:lvl>
    <w:lvl w:ilvl="5" w:tplc="AE768D80">
      <w:numFmt w:val="bullet"/>
      <w:lvlText w:val="•"/>
      <w:lvlJc w:val="left"/>
      <w:pPr>
        <w:ind w:left="5273" w:hanging="420"/>
      </w:pPr>
      <w:rPr>
        <w:rFonts w:hint="default"/>
        <w:lang w:val="en-US" w:eastAsia="zh-TW" w:bidi="ar-SA"/>
      </w:rPr>
    </w:lvl>
    <w:lvl w:ilvl="6" w:tplc="FC829E1A">
      <w:numFmt w:val="bullet"/>
      <w:lvlText w:val="•"/>
      <w:lvlJc w:val="left"/>
      <w:pPr>
        <w:ind w:left="6079" w:hanging="420"/>
      </w:pPr>
      <w:rPr>
        <w:rFonts w:hint="default"/>
        <w:lang w:val="en-US" w:eastAsia="zh-TW" w:bidi="ar-SA"/>
      </w:rPr>
    </w:lvl>
    <w:lvl w:ilvl="7" w:tplc="D1B0F888">
      <w:numFmt w:val="bullet"/>
      <w:lvlText w:val="•"/>
      <w:lvlJc w:val="left"/>
      <w:pPr>
        <w:ind w:left="6886" w:hanging="420"/>
      </w:pPr>
      <w:rPr>
        <w:rFonts w:hint="default"/>
        <w:lang w:val="en-US" w:eastAsia="zh-TW" w:bidi="ar-SA"/>
      </w:rPr>
    </w:lvl>
    <w:lvl w:ilvl="8" w:tplc="0C52FB10">
      <w:numFmt w:val="bullet"/>
      <w:lvlText w:val="•"/>
      <w:lvlJc w:val="left"/>
      <w:pPr>
        <w:ind w:left="7693" w:hanging="420"/>
      </w:pPr>
      <w:rPr>
        <w:rFonts w:hint="default"/>
        <w:lang w:val="en-US" w:eastAsia="zh-TW" w:bidi="ar-SA"/>
      </w:rPr>
    </w:lvl>
  </w:abstractNum>
  <w:abstractNum w:abstractNumId="1">
    <w:nsid w:val="18C318AC"/>
    <w:multiLevelType w:val="hybridMultilevel"/>
    <w:tmpl w:val="8E62A9E2"/>
    <w:lvl w:ilvl="0" w:tplc="DA4C3100">
      <w:numFmt w:val="bullet"/>
      <w:lvlText w:val="□"/>
      <w:lvlJc w:val="left"/>
      <w:pPr>
        <w:ind w:left="3900" w:hanging="42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8"/>
        <w:szCs w:val="28"/>
        <w:lang w:val="en-US" w:eastAsia="zh-TW" w:bidi="ar-SA"/>
      </w:rPr>
    </w:lvl>
    <w:lvl w:ilvl="1" w:tplc="2C7C1F98">
      <w:numFmt w:val="bullet"/>
      <w:lvlText w:val="•"/>
      <w:lvlJc w:val="left"/>
      <w:pPr>
        <w:ind w:left="4440" w:hanging="420"/>
      </w:pPr>
      <w:rPr>
        <w:rFonts w:hint="default"/>
        <w:lang w:val="en-US" w:eastAsia="zh-TW" w:bidi="ar-SA"/>
      </w:rPr>
    </w:lvl>
    <w:lvl w:ilvl="2" w:tplc="68AC04CE">
      <w:numFmt w:val="bullet"/>
      <w:lvlText w:val="•"/>
      <w:lvlJc w:val="left"/>
      <w:pPr>
        <w:ind w:left="4981" w:hanging="420"/>
      </w:pPr>
      <w:rPr>
        <w:rFonts w:hint="default"/>
        <w:lang w:val="en-US" w:eastAsia="zh-TW" w:bidi="ar-SA"/>
      </w:rPr>
    </w:lvl>
    <w:lvl w:ilvl="3" w:tplc="BAFABFD8">
      <w:numFmt w:val="bullet"/>
      <w:lvlText w:val="•"/>
      <w:lvlJc w:val="left"/>
      <w:pPr>
        <w:ind w:left="5521" w:hanging="420"/>
      </w:pPr>
      <w:rPr>
        <w:rFonts w:hint="default"/>
        <w:lang w:val="en-US" w:eastAsia="zh-TW" w:bidi="ar-SA"/>
      </w:rPr>
    </w:lvl>
    <w:lvl w:ilvl="4" w:tplc="7AF46542">
      <w:numFmt w:val="bullet"/>
      <w:lvlText w:val="•"/>
      <w:lvlJc w:val="left"/>
      <w:pPr>
        <w:ind w:left="6062" w:hanging="420"/>
      </w:pPr>
      <w:rPr>
        <w:rFonts w:hint="default"/>
        <w:lang w:val="en-US" w:eastAsia="zh-TW" w:bidi="ar-SA"/>
      </w:rPr>
    </w:lvl>
    <w:lvl w:ilvl="5" w:tplc="27648E60">
      <w:numFmt w:val="bullet"/>
      <w:lvlText w:val="•"/>
      <w:lvlJc w:val="left"/>
      <w:pPr>
        <w:ind w:left="6603" w:hanging="420"/>
      </w:pPr>
      <w:rPr>
        <w:rFonts w:hint="default"/>
        <w:lang w:val="en-US" w:eastAsia="zh-TW" w:bidi="ar-SA"/>
      </w:rPr>
    </w:lvl>
    <w:lvl w:ilvl="6" w:tplc="90DE2E7C">
      <w:numFmt w:val="bullet"/>
      <w:lvlText w:val="•"/>
      <w:lvlJc w:val="left"/>
      <w:pPr>
        <w:ind w:left="7143" w:hanging="420"/>
      </w:pPr>
      <w:rPr>
        <w:rFonts w:hint="default"/>
        <w:lang w:val="en-US" w:eastAsia="zh-TW" w:bidi="ar-SA"/>
      </w:rPr>
    </w:lvl>
    <w:lvl w:ilvl="7" w:tplc="A942FDFC">
      <w:numFmt w:val="bullet"/>
      <w:lvlText w:val="•"/>
      <w:lvlJc w:val="left"/>
      <w:pPr>
        <w:ind w:left="7684" w:hanging="420"/>
      </w:pPr>
      <w:rPr>
        <w:rFonts w:hint="default"/>
        <w:lang w:val="en-US" w:eastAsia="zh-TW" w:bidi="ar-SA"/>
      </w:rPr>
    </w:lvl>
    <w:lvl w:ilvl="8" w:tplc="38CE884E">
      <w:numFmt w:val="bullet"/>
      <w:lvlText w:val="•"/>
      <w:lvlJc w:val="left"/>
      <w:pPr>
        <w:ind w:left="8225" w:hanging="42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047F7"/>
    <w:rsid w:val="003576CF"/>
    <w:rsid w:val="004047F7"/>
    <w:rsid w:val="00CB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7F7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7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7F7"/>
    <w:rPr>
      <w:sz w:val="28"/>
      <w:szCs w:val="28"/>
    </w:rPr>
  </w:style>
  <w:style w:type="paragraph" w:styleId="a4">
    <w:name w:val="Title"/>
    <w:basedOn w:val="a"/>
    <w:uiPriority w:val="1"/>
    <w:qFormat/>
    <w:rsid w:val="004047F7"/>
    <w:pPr>
      <w:spacing w:line="576" w:lineRule="exact"/>
      <w:ind w:left="3240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4047F7"/>
    <w:pPr>
      <w:spacing w:line="499" w:lineRule="exact"/>
      <w:ind w:left="1240" w:hanging="421"/>
    </w:pPr>
  </w:style>
  <w:style w:type="paragraph" w:customStyle="1" w:styleId="TableParagraph">
    <w:name w:val="Table Paragraph"/>
    <w:basedOn w:val="a"/>
    <w:uiPriority w:val="1"/>
    <w:qFormat/>
    <w:rsid w:val="004047F7"/>
  </w:style>
  <w:style w:type="paragraph" w:styleId="a6">
    <w:name w:val="header"/>
    <w:basedOn w:val="a"/>
    <w:link w:val="a7"/>
    <w:uiPriority w:val="99"/>
    <w:semiHidden/>
    <w:unhideWhenUsed/>
    <w:rsid w:val="00CB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B531C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CB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B531C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>C.M.T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法院通譯使用作業規定</dc:title>
  <dc:creator>hongjie</dc:creator>
  <cp:lastModifiedBy>Windows 使用者</cp:lastModifiedBy>
  <cp:revision>2</cp:revision>
  <dcterms:created xsi:type="dcterms:W3CDTF">2020-01-13T00:47:00Z</dcterms:created>
  <dcterms:modified xsi:type="dcterms:W3CDTF">2020-01-13T00:48:00Z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